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eastAsiaTheme="minorEastAsia"/>
          <w:b/>
          <w:bCs/>
          <w:lang w:eastAsia="zh-CN"/>
        </w:rPr>
      </w:pPr>
      <w:r>
        <w:rPr>
          <w:rFonts w:eastAsiaTheme="minorEastAsia"/>
          <w:b/>
          <w:bCs/>
          <w:lang w:eastAsia="zh-CN"/>
        </w:rPr>
        <w:t>CONSUMER PROTECTION AGAINST TRADED PIG MEAT IN COMMUNITY</w:t>
      </w:r>
    </w:p>
    <w:p>
      <w:pPr>
        <w:spacing w:after="0" w:line="240" w:lineRule="auto"/>
        <w:jc w:val="center"/>
        <w:rPr>
          <w:rFonts w:hint="eastAsia" w:eastAsiaTheme="minorEastAsia"/>
          <w:b/>
          <w:bCs/>
          <w:lang w:eastAsia="zh-CN"/>
        </w:rPr>
      </w:pPr>
    </w:p>
    <w:p>
      <w:pPr>
        <w:spacing w:after="0" w:line="240" w:lineRule="auto"/>
        <w:jc w:val="center"/>
        <w:rPr>
          <w:lang w:val="en"/>
        </w:rPr>
      </w:pPr>
      <w:r>
        <w:rPr>
          <w:lang w:val="en"/>
        </w:rPr>
        <w:t>Panggung Handoko</w:t>
      </w:r>
    </w:p>
    <w:p>
      <w:pPr>
        <w:spacing w:after="0" w:line="240" w:lineRule="auto"/>
        <w:jc w:val="center"/>
        <w:rPr>
          <w:lang w:val="en"/>
        </w:rPr>
      </w:pPr>
      <w:r>
        <w:rPr>
          <w:lang w:val="en"/>
        </w:rPr>
        <w:t>Universitas Pembangunan Nasional “Veteran” Jawa Timur</w:t>
      </w:r>
    </w:p>
    <w:p>
      <w:pPr>
        <w:spacing w:after="0" w:line="240" w:lineRule="auto"/>
        <w:jc w:val="center"/>
        <w:rPr>
          <w:rFonts w:hint="default"/>
          <w:lang w:val="en-US"/>
        </w:rPr>
      </w:pPr>
      <w:r>
        <w:rPr>
          <w:lang w:val="en-US"/>
        </w:rPr>
        <w:fldChar w:fldCharType="begin"/>
      </w:r>
      <w:r>
        <w:rPr>
          <w:lang w:val="en-US"/>
        </w:rPr>
        <w:instrText xml:space="preserve"> HYPERLINK "mailto:phandokos@yahoo.com" </w:instrText>
      </w:r>
      <w:r>
        <w:rPr>
          <w:lang w:val="en-US"/>
        </w:rPr>
        <w:fldChar w:fldCharType="separate"/>
      </w:r>
      <w:r>
        <w:rPr>
          <w:rStyle w:val="9"/>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344805</wp:posOffset>
                </wp:positionV>
                <wp:extent cx="60293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60293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pt;margin-top:27.15pt;height:0.75pt;width:474.75pt;z-index:251659264;mso-width-relative:page;mso-height-relative:page;" filled="f" stroked="t" coordsize="21600,21600" o:gfxdata="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KfOkx1QAAAAYBAAAPAAAAAAAA&#10;AAEAIAAAACIAAABkcnMvZG93bnJldi54bWxQSwECFAAUAAAACACHTuJASPpC/twBAADBAwAADgAA&#10;AAAAAAABACAAAAAkAQAAZHJzL2Uyb0RvYy54bWxQSwUGAAAAAAYABgBZAQAAcgUAAAAA&#10;">
                <v:fill on="f" focussize="0,0"/>
                <v:stroke weight="0.5pt" color="#000000 [3213]" miterlimit="8" joinstyle="miter"/>
                <v:imagedata o:title=""/>
                <o:lock v:ext="edit" aspectratio="f"/>
              </v:line>
            </w:pict>
          </mc:Fallback>
        </mc:AlternateContent>
      </w:r>
      <w:r>
        <w:rPr>
          <w:rStyle w:val="9"/>
          <w:lang w:val="en"/>
        </w:rPr>
        <w:t>phandokos@yahoo.com</w:t>
      </w:r>
      <w:r>
        <w:rPr>
          <w:lang w:val="en-US"/>
        </w:rPr>
        <w:fldChar w:fldCharType="end"/>
      </w:r>
      <w:r>
        <w:rPr>
          <w:rFonts w:hint="default"/>
          <w:lang w:val="en-US"/>
        </w:rPr>
        <w:t xml:space="preserve"> </w:t>
      </w:r>
      <w:bookmarkStart w:id="2" w:name="_GoBack"/>
      <w:bookmarkEnd w:id="2"/>
    </w:p>
    <w:p>
      <w:pPr>
        <w:spacing w:after="0" w:line="240" w:lineRule="auto"/>
        <w:jc w:val="both"/>
      </w:pPr>
    </w:p>
    <w:p>
      <w:pPr>
        <w:spacing w:after="0" w:line="240" w:lineRule="auto"/>
        <w:jc w:val="both"/>
        <w:rPr>
          <w:b/>
        </w:rPr>
      </w:pPr>
    </w:p>
    <w:p>
      <w:pPr>
        <w:spacing w:after="0" w:line="240" w:lineRule="auto"/>
        <w:jc w:val="both"/>
        <w:rPr>
          <w:i/>
          <w:iCs/>
        </w:rPr>
      </w:pPr>
      <w:r>
        <w:rPr>
          <w:b/>
        </w:rPr>
        <w:t>ABSTRACT</w:t>
      </w:r>
      <w:r>
        <w:t xml:space="preserve">; </w:t>
      </w:r>
      <w:r>
        <w:rPr>
          <w:i/>
          <w:iCs/>
        </w:rPr>
        <w:t>This study aims to determine consumer protection for the circulation of pork that is traded in deceit in society, by discussing the issue of whether the perpetrators can be sued if pork is sold as venison and how the government protects consumers who are harmed by consuming pork. The research using the statutory approach and the case approach, it is concluded that: The perpetrator can be sued if the pork sold is said to be venison. Selling venison when in fact it is pork, it can be said that the perpetrator has committed an act that violates consumer rights, namely for correct, clear, and honest information regarding the condition and guarantee of goods as stipulated in Article 4 letter c of Law no. 8 of 1999. Selling pork without including a label that the meat is not halal violates Article 8 paragraph (1) letter h of Law no. 8 of 1999, and the meat was sold to convince potential buyers, the perpetrator said that he was not honest or lying, with the intention of misleading the buyer to seek profit, that the meat being sold was venison, as an act of deception carried out by the perpetrator. The form of government protection for consumers who are harmed by consuming pork, that the government through the Minister of Health and the Minister of Trade and BPOM provide supervision over trade and circulation of goods as stipulated in Article 30 of Law no. 8 of 1999 as a repressive and preventive supervision. Against consumers who are harmed by violating consumer rights and trading goods without attaching a label as referred to in Article 4 letter c and Article 8 paragraph (1) letter h of Law no. 8 of 1999, as a violation of the law, the settlement is through a lawsuit to the General Court in the form of reimbursement of costs, losses (both material and immaterial) as stipulated in Article 1365 of the Civil Code.</w:t>
      </w:r>
    </w:p>
    <w:p>
      <w:pPr>
        <w:spacing w:after="0" w:line="240" w:lineRule="auto"/>
        <w:jc w:val="both"/>
      </w:pPr>
    </w:p>
    <w:p>
      <w:pPr>
        <w:spacing w:after="0" w:line="240" w:lineRule="auto"/>
        <w:jc w:val="both"/>
      </w:pPr>
      <w:r>
        <w:rPr>
          <w:b/>
        </w:rPr>
        <w:t xml:space="preserve">Keywords: </w:t>
      </w:r>
      <w:r>
        <w:rPr>
          <w:b/>
          <w:i/>
          <w:iCs/>
        </w:rPr>
        <w:t>Juridical Review, Circulation of Pork, By Deception</w:t>
      </w:r>
    </w:p>
    <w:p>
      <w:pPr>
        <w:spacing w:after="0" w:line="240" w:lineRule="auto"/>
        <w:jc w:val="both"/>
      </w:pPr>
    </w:p>
    <w:p>
      <w:pPr>
        <w:spacing w:after="0" w:line="240" w:lineRule="auto"/>
        <w:jc w:val="both"/>
        <w:rPr>
          <w:b/>
        </w:rPr>
      </w:pPr>
      <w:r>
        <w:rPr>
          <w:b/>
        </w:rPr>
        <w:t>INTRODUCTION</w:t>
      </w:r>
    </w:p>
    <w:p>
      <w:pPr>
        <w:spacing w:after="0" w:line="360" w:lineRule="auto"/>
        <w:ind w:firstLine="720" w:firstLineChars="0"/>
        <w:jc w:val="both"/>
        <w:rPr>
          <w:rFonts w:eastAsiaTheme="minorEastAsia"/>
          <w:lang w:eastAsia="zh-CN"/>
        </w:rPr>
      </w:pPr>
      <w:r>
        <w:rPr>
          <w:rFonts w:eastAsiaTheme="minorEastAsia"/>
          <w:lang w:eastAsia="zh-CN"/>
        </w:rPr>
        <w:t>The circulation of materials for the daily needs of the community can be fulfilled by buying in the market the products of other parties or business actors, so that there is a legal relationship between product buyers, called consumers and product providers, called business actors. Legal relationship (rechtsbetrekkingen) according to Soeroso is "a relationship between two or more legal subjects regarding rights and obligations on the one hand versus rights and obligations on the other". Legal relations occur between business actors and consumers, the business actor in question is every individual or business entity, either individually or jointly through an agreement to carry out business activities in various economic fields as referred to in Article 1 point 3 of Law Number 8 of 1998 concerning Consumer Protection ( hereinafter abbreviated as Law No. 8 of 1998). Consumers are every person who uses goods and/or services available in the community, both for the benefit of themselves, their families, other people and other living creatures and not for trading.</w:t>
      </w:r>
    </w:p>
    <w:p>
      <w:pPr>
        <w:spacing w:after="0" w:line="360" w:lineRule="auto"/>
        <w:jc w:val="both"/>
        <w:rPr>
          <w:rFonts w:eastAsiaTheme="minorEastAsia"/>
          <w:lang w:eastAsia="zh-CN"/>
        </w:rPr>
      </w:pPr>
      <w:r>
        <w:rPr>
          <w:rFonts w:eastAsiaTheme="minorEastAsia"/>
          <w:lang w:eastAsia="zh-CN"/>
        </w:rPr>
        <w:t>In Law no. 8 of 1999 regulates the obligations and prohibitions that are complied with by business actors. Among the obligations of business actors as referred to in Article 7 letters a and b, that business actors in carrying out business activities are obliged to have good faith in carrying out their business activities and provide correct, clear and honest information regarding the conditions and guarantees of goods and/or services and provide explanations on the use of goods and/or services., repair and maintenance. The prohibition that must be obeyed by business actors in marketing their products, namely business actors are prohibited from producing and/or trading goods and/or services that do not follow the provisions for producing halal, as stated in the "halal" statement on the label, as stated in Article 8 letter h of Law No. 8 of 1999.</w:t>
      </w:r>
    </w:p>
    <w:p>
      <w:pPr>
        <w:spacing w:after="0" w:line="360" w:lineRule="auto"/>
        <w:ind w:firstLine="720" w:firstLineChars="0"/>
        <w:jc w:val="both"/>
        <w:rPr>
          <w:rFonts w:hint="eastAsia" w:eastAsiaTheme="minorEastAsia"/>
          <w:lang w:eastAsia="zh-CN"/>
        </w:rPr>
      </w:pPr>
      <w:r>
        <w:rPr>
          <w:rFonts w:eastAsiaTheme="minorEastAsia"/>
          <w:lang w:eastAsia="zh-CN"/>
        </w:rPr>
        <w:t>Regarding the prohibition on trading in halal-produced goods, as stated in the "halal" statement on the label, regarding goods that are forbidden to be traded for Muslim consumers, that based on Surah Al Baqarah verse 173 it is stated, "Indeed Allah only forbids you carcasses, blood , pork, and animals that (when slaughtered) are called (names) other than Allah. Ibn Abbas said "The Messenger of Allah forbade every wild animal with fangs and every bird with claws," (Narrated by Muslim). However, there are exceptions regarding birds that These clawed animals, namely animals that have fangs and claws but do not use their fangs and claws to attack, are lawful for consumption, these animals include chickens, pigeons, and deer.</w:t>
      </w:r>
    </w:p>
    <w:p>
      <w:pPr>
        <w:spacing w:after="0" w:line="360" w:lineRule="auto"/>
        <w:ind w:firstLine="720" w:firstLineChars="0"/>
        <w:jc w:val="both"/>
        <w:rPr>
          <w:rFonts w:eastAsiaTheme="minorEastAsia"/>
          <w:lang w:eastAsia="zh-CN"/>
        </w:rPr>
      </w:pPr>
      <w:r>
        <w:rPr>
          <w:rFonts w:eastAsiaTheme="minorEastAsia"/>
          <w:lang w:eastAsia="zh-CN"/>
        </w:rPr>
        <w:t>Trading deer even though it includes hoofed and fanged animals is halal, trading in meat is something that is expected, in fact in the market there is meat circulating for what individual business actors claim is deer meat, as was done by a business actor named Febriansyah, precisely on 15 September 2019 met Dedi at a stall in Langkap Village, Kec. Babat Supat Kab. Musi Banyuasin, both riding motorbikes went to Dedi's house with the intention of taking pork, then put it in a sack, then delivered the pork to the consumer's house at a price of Rp. 50,000 (fifty thousand rupiah) per kilo.</w:t>
      </w:r>
    </w:p>
    <w:p>
      <w:pPr>
        <w:spacing w:after="0" w:line="360" w:lineRule="auto"/>
        <w:ind w:firstLine="720" w:firstLineChars="0"/>
        <w:jc w:val="both"/>
        <w:rPr>
          <w:rFonts w:eastAsiaTheme="minorEastAsia"/>
          <w:lang w:eastAsia="zh-CN"/>
        </w:rPr>
      </w:pPr>
      <w:r>
        <w:rPr>
          <w:rFonts w:eastAsiaTheme="minorEastAsia"/>
          <w:lang w:eastAsia="zh-CN"/>
        </w:rPr>
        <w:t xml:space="preserve">Febriansyah and Dedi by riding a motorcycle went to see Lamsar with how many large black plastic wrappers which contained pork </w:t>
      </w:r>
      <w:r>
        <w:rPr>
          <w:rFonts w:hint="default" w:eastAsiaTheme="minorEastAsia"/>
          <w:lang w:val="en-US" w:eastAsia="zh-CN"/>
        </w:rPr>
        <w:t xml:space="preserve">or </w:t>
      </w:r>
      <w:r>
        <w:rPr>
          <w:rFonts w:eastAsiaTheme="minorEastAsia"/>
          <w:lang w:eastAsia="zh-CN"/>
        </w:rPr>
        <w:t>wild boar meat, besides that Febriansyah and Dedi sold the meat to the surrounding community where every 1 (one) kg of raw pork / wild boar was sold at a price of Rp. 50,000 ,- (fifty thousand rupiah), where every time they sell raw pork, Febriansyah and Dedi tell buyers/consumers the meat they sell is deer meat so that people who buy it believe.</w:t>
      </w:r>
    </w:p>
    <w:p>
      <w:pPr>
        <w:spacing w:after="0" w:line="360" w:lineRule="auto"/>
        <w:ind w:firstLine="720" w:firstLineChars="0"/>
        <w:jc w:val="both"/>
        <w:rPr>
          <w:rFonts w:eastAsiaTheme="minorEastAsia"/>
          <w:lang w:eastAsia="zh-CN"/>
        </w:rPr>
      </w:pPr>
      <w:r>
        <w:rPr>
          <w:rFonts w:eastAsiaTheme="minorEastAsia"/>
          <w:lang w:eastAsia="zh-CN"/>
        </w:rPr>
        <w:t>Based on the facts at trial, it can be proven that the meat sold by Febriansyah was pork, based on the Certificate of Analysis No. AS30/LAB/LPPOM MUI/IX/2019 dated 24 September 2019 signed by Dr. Ir. Mardiah Rohman, M.Si as the Deputy Head of the LPPOM MUI Laboratory concluded that 1 (one) fresh meat sample was positive for pork DNA (pork).</w:t>
      </w:r>
    </w:p>
    <w:p>
      <w:pPr>
        <w:spacing w:after="0" w:line="360" w:lineRule="auto"/>
        <w:ind w:firstLine="720" w:firstLineChars="0"/>
        <w:jc w:val="both"/>
        <w:rPr>
          <w:rFonts w:eastAsiaTheme="minorEastAsia"/>
          <w:lang w:eastAsia="zh-CN"/>
        </w:rPr>
      </w:pPr>
      <w:r>
        <w:rPr>
          <w:rFonts w:eastAsiaTheme="minorEastAsia"/>
          <w:lang w:eastAsia="zh-CN"/>
        </w:rPr>
        <w:t>Febriansyah's actions were not in accordance with the promises stated in his statement to consumers in selling meat who said they were selling venison, which turned out to be after inspection based on Certificate of Analysis No. AS30/LAB/LPPOM.MUI/IX/2019 dated September 24, 2019, the meat that was traded by Febriansyah with DEDI contained pork.</w:t>
      </w:r>
    </w:p>
    <w:p>
      <w:pPr>
        <w:spacing w:after="0" w:line="360" w:lineRule="auto"/>
        <w:ind w:firstLine="720" w:firstLineChars="0"/>
        <w:jc w:val="both"/>
        <w:rPr>
          <w:rFonts w:eastAsiaTheme="minorEastAsia"/>
          <w:lang w:eastAsia="zh-CN"/>
        </w:rPr>
      </w:pPr>
      <w:r>
        <w:rPr>
          <w:rFonts w:eastAsiaTheme="minorEastAsia"/>
          <w:lang w:eastAsia="zh-CN"/>
        </w:rPr>
        <w:t>Taking into account the description above, it can be explained that Febriansyah, who sells the meat to consumers, says that the meat he sells is venison, including the type of meat that is halal for sale. AS30/LAB/LPPOM MUI/IX/2019 dated 24 September 2019 signed by Dr. Ir. Mardiah Rohman, M.Si as the Deputy Head of the LPPOM MUI Laboratory concluded that 1 (one) sample of fresh meat was positive for pork DNA (pork). meat does not openly tell consumers that the meat being sold is pork.</w:t>
      </w:r>
    </w:p>
    <w:p>
      <w:pPr>
        <w:spacing w:after="0" w:line="360" w:lineRule="auto"/>
        <w:jc w:val="both"/>
        <w:rPr>
          <w:rFonts w:hint="eastAsia" w:eastAsiaTheme="minorEastAsia"/>
          <w:lang w:eastAsia="zh-CN"/>
        </w:rPr>
      </w:pPr>
    </w:p>
    <w:p>
      <w:pPr>
        <w:spacing w:after="0" w:line="240" w:lineRule="auto"/>
        <w:jc w:val="both"/>
        <w:rPr>
          <w:b/>
        </w:rPr>
      </w:pPr>
      <w:r>
        <w:rPr>
          <w:b/>
        </w:rPr>
        <w:t>Research Methods</w:t>
      </w:r>
    </w:p>
    <w:p>
      <w:pPr>
        <w:spacing w:after="0" w:line="240" w:lineRule="auto"/>
        <w:jc w:val="both"/>
        <w:rPr>
          <w:b/>
        </w:rPr>
      </w:pPr>
    </w:p>
    <w:p>
      <w:pPr>
        <w:spacing w:after="0" w:line="360" w:lineRule="auto"/>
        <w:jc w:val="both"/>
        <w:rPr>
          <w:rFonts w:hint="default"/>
          <w:lang w:val="en-US"/>
        </w:rPr>
      </w:pPr>
      <w:r>
        <w:t>The type of research in this legal research is normative research, which is a process to determine the rule of law, legal principles and legal doctrines in order to answer legal issues faced</w:t>
      </w:r>
      <w:r>
        <w:rPr>
          <w:rFonts w:hint="default"/>
          <w:lang w:val="en-US"/>
        </w:rPr>
        <w:t>.</w:t>
      </w:r>
    </w:p>
    <w:p>
      <w:pPr>
        <w:spacing w:after="0" w:line="240" w:lineRule="auto"/>
        <w:jc w:val="both"/>
        <w:rPr>
          <w:rFonts w:hint="eastAsia" w:eastAsiaTheme="minorEastAsia"/>
          <w:lang w:eastAsia="zh-CN"/>
        </w:rPr>
      </w:pPr>
    </w:p>
    <w:p>
      <w:pPr>
        <w:spacing w:after="0" w:line="240" w:lineRule="auto"/>
        <w:jc w:val="both"/>
        <w:rPr>
          <w:b/>
        </w:rPr>
      </w:pPr>
      <w:r>
        <w:rPr>
          <w:b/>
        </w:rPr>
        <w:t>Discussion</w:t>
      </w:r>
    </w:p>
    <w:p>
      <w:pPr>
        <w:spacing w:after="0" w:line="240" w:lineRule="auto"/>
        <w:jc w:val="both"/>
      </w:pPr>
    </w:p>
    <w:p>
      <w:pPr>
        <w:widowControl w:val="0"/>
        <w:autoSpaceDE w:val="0"/>
        <w:autoSpaceDN w:val="0"/>
        <w:spacing w:after="0" w:line="360" w:lineRule="auto"/>
        <w:ind w:right="117" w:firstLine="720"/>
        <w:jc w:val="both"/>
        <w:rPr>
          <w:rFonts w:eastAsia="Times New Roman" w:cs="Times New Roman"/>
          <w:color w:val="000000"/>
          <w:szCs w:val="24"/>
          <w:lang w:val="en-US"/>
        </w:rPr>
      </w:pPr>
      <w:r>
        <w:rPr>
          <w:rFonts w:eastAsia="Times New Roman" w:cs="Times New Roman"/>
          <w:color w:val="000000"/>
          <w:szCs w:val="24"/>
          <w:lang w:val="en-US"/>
        </w:rPr>
        <w:t>The promulgation of Law no. 8 of 1999 to "increase the dignity of consumers", which means that the position of consumers is weak when compared to the position of business actors, the condition is not balanced, consumers are in a weak position. Consumers become the object of business activity to reap the maximum profit by business actors through promotional tips, sales methods, and the application of standard agreements that are detrimental to consumers. The main factor that becomes the weakness of consumers is the level of consumer awareness of their rights is still low. This is mainly due to the low level of consumer education, as stated in the General explanation of Law no. 8 of 1999. Therefore, the main factor that becomes the main weakness of consumers is the level of consumer awareness of their rights is still very low and there is still a lack of adequate laws and regulations to equalize the bargaining position of consumers with business actors and guarantee consumer rights.</w:t>
      </w:r>
      <w:r>
        <w:rPr>
          <w:rFonts w:eastAsia="Times New Roman" w:cs="Times New Roman"/>
          <w:color w:val="000000"/>
          <w:szCs w:val="24"/>
          <w:vertAlign w:val="superscript"/>
          <w:lang w:val="en-US"/>
        </w:rPr>
        <w:footnoteReference w:id="0"/>
      </w:r>
      <w:r>
        <w:rPr>
          <w:rFonts w:eastAsia="Times New Roman" w:cs="Times New Roman"/>
          <w:color w:val="000000"/>
          <w:szCs w:val="24"/>
          <w:lang w:val="en-US"/>
        </w:rPr>
        <w:t>.</w:t>
      </w:r>
      <w:r>
        <w:t xml:space="preserve"> </w:t>
      </w:r>
      <w:r>
        <w:rPr>
          <w:rFonts w:eastAsia="Times New Roman" w:cs="Times New Roman"/>
          <w:color w:val="000000"/>
          <w:szCs w:val="24"/>
          <w:lang w:val="en-US"/>
        </w:rPr>
        <w:t xml:space="preserve">This is due to the lack of awareness on the part of the consumers themselves and the low level of consumer education available </w:t>
      </w:r>
      <w:r>
        <w:rPr>
          <w:rFonts w:eastAsia="Times New Roman" w:cs="Times New Roman"/>
          <w:color w:val="000000"/>
          <w:szCs w:val="24"/>
          <w:vertAlign w:val="superscript"/>
          <w:lang w:val="en-US"/>
        </w:rPr>
        <w:footnoteReference w:id="1"/>
      </w:r>
    </w:p>
    <w:p>
      <w:pPr>
        <w:widowControl w:val="0"/>
        <w:autoSpaceDE w:val="0"/>
        <w:autoSpaceDN w:val="0"/>
        <w:spacing w:after="0" w:line="360" w:lineRule="auto"/>
        <w:ind w:right="117" w:firstLine="720"/>
        <w:jc w:val="both"/>
        <w:rPr>
          <w:rFonts w:eastAsia="Times New Roman" w:cs="Times New Roman"/>
          <w:color w:val="000000"/>
          <w:szCs w:val="24"/>
          <w:lang w:val="en-US"/>
        </w:rPr>
      </w:pPr>
      <w:r>
        <w:rPr>
          <w:rFonts w:eastAsia="Times New Roman" w:cs="Times New Roman"/>
          <w:bCs/>
          <w:color w:val="000000"/>
          <w:szCs w:val="24"/>
          <w:lang w:val="en-US"/>
        </w:rPr>
        <w:t>The legal relationship between business actors and consumers creates a reciprocal right and obligation known as achievement, according to Abdulkadir Muhammad "an obligation that must be fulfilled by the debtor in every engagement.”.</w:t>
      </w:r>
      <w:r>
        <w:rPr>
          <w:rFonts w:eastAsia="Times New Roman" w:cs="Times New Roman"/>
          <w:bCs/>
          <w:color w:val="000000"/>
          <w:szCs w:val="24"/>
          <w:vertAlign w:val="superscript"/>
          <w:lang w:val="en-US"/>
        </w:rPr>
        <w:footnoteReference w:id="2"/>
      </w:r>
      <w:r>
        <w:t xml:space="preserve"> </w:t>
      </w:r>
      <w:r>
        <w:rPr>
          <w:rFonts w:eastAsia="Times New Roman" w:cs="Times New Roman"/>
          <w:bCs/>
          <w:color w:val="000000"/>
          <w:szCs w:val="24"/>
          <w:lang w:val="en-US"/>
        </w:rPr>
        <w:t>Achievement as an obligation arising from an engagement, according to Article 1233 of the Civil Code, it is determined that "every engagement is born out of an agreement, whether by law". An association born by law. In addition, there are engagements born from the law because of people's actions, whether in the form of acts according to the law or acts against the law. Examples of acts against the law or harming other people can result in an obligation to replace the perpetrator as stated in Article 1365 of the Civil Code</w:t>
      </w:r>
      <w:r>
        <w:rPr>
          <w:rFonts w:eastAsia="Times New Roman" w:cs="Times New Roman"/>
          <w:color w:val="000000"/>
          <w:szCs w:val="24"/>
          <w:lang w:val="en-US"/>
        </w:rPr>
        <w:t>.</w:t>
      </w:r>
      <w:r>
        <w:rPr>
          <w:rFonts w:eastAsia="Times New Roman" w:cs="Times New Roman"/>
          <w:color w:val="000000"/>
          <w:szCs w:val="24"/>
          <w:vertAlign w:val="superscript"/>
          <w:lang w:val="en-US"/>
        </w:rPr>
        <w:footnoteReference w:id="3"/>
      </w:r>
    </w:p>
    <w:p>
      <w:pPr>
        <w:widowControl w:val="0"/>
        <w:autoSpaceDE w:val="0"/>
        <w:autoSpaceDN w:val="0"/>
        <w:spacing w:after="0" w:line="360" w:lineRule="auto"/>
        <w:ind w:right="117" w:firstLine="720"/>
        <w:jc w:val="both"/>
        <w:rPr>
          <w:rFonts w:eastAsia="Times New Roman" w:cs="Times New Roman"/>
          <w:bCs/>
          <w:color w:val="000000"/>
          <w:szCs w:val="24"/>
          <w:lang w:val="en-US"/>
        </w:rPr>
      </w:pPr>
      <w:r>
        <w:rPr>
          <w:rFonts w:eastAsia="Times New Roman" w:cs="Times New Roman"/>
          <w:bCs/>
          <w:color w:val="000000"/>
          <w:szCs w:val="24"/>
          <w:lang w:val="en-US"/>
        </w:rPr>
        <w:t>Regarding the term accountability, Peter Mahmud Marzuki defines liability (liability/aansprakelijkheid), which is a specific form of responsibility. be the result.</w:t>
      </w:r>
    </w:p>
    <w:p>
      <w:pPr>
        <w:widowControl w:val="0"/>
        <w:autoSpaceDE w:val="0"/>
        <w:autoSpaceDN w:val="0"/>
        <w:spacing w:after="0" w:line="360" w:lineRule="auto"/>
        <w:ind w:right="117" w:firstLine="720"/>
        <w:jc w:val="both"/>
        <w:rPr>
          <w:rFonts w:eastAsia="Times New Roman" w:cs="Times New Roman"/>
          <w:bCs/>
          <w:color w:val="000000"/>
          <w:szCs w:val="24"/>
          <w:lang w:val="en-US"/>
        </w:rPr>
      </w:pPr>
      <w:r>
        <w:rPr>
          <w:rFonts w:eastAsia="Times New Roman" w:cs="Times New Roman"/>
          <w:bCs/>
          <w:color w:val="000000"/>
          <w:szCs w:val="24"/>
          <w:lang w:val="en-US"/>
        </w:rPr>
        <w:t>Regarding the responsibility of business actors to consumers, there are 5 (five) principles of Accountability in Consumer Protection, namely:</w:t>
      </w:r>
    </w:p>
    <w:p>
      <w:pPr>
        <w:pStyle w:val="13"/>
        <w:widowControl w:val="0"/>
        <w:numPr>
          <w:ilvl w:val="0"/>
          <w:numId w:val="1"/>
        </w:numPr>
        <w:shd w:val="clear" w:color="auto" w:fill="FFFFFF"/>
        <w:autoSpaceDE w:val="0"/>
        <w:autoSpaceDN w:val="0"/>
        <w:spacing w:after="0" w:line="360" w:lineRule="auto"/>
        <w:jc w:val="both"/>
        <w:rPr>
          <w:rFonts w:eastAsia="Times New Roman" w:cs="Times New Roman"/>
          <w:color w:val="000000"/>
          <w:szCs w:val="24"/>
          <w:lang w:val="en-US"/>
        </w:rPr>
      </w:pPr>
      <w:r>
        <w:rPr>
          <w:rFonts w:eastAsia="Times New Roman" w:cs="Times New Roman"/>
          <w:color w:val="000000"/>
          <w:szCs w:val="24"/>
          <w:lang w:val="en-US"/>
        </w:rPr>
        <w:t>The principle of liability based on fault</w:t>
      </w:r>
    </w:p>
    <w:p>
      <w:pPr>
        <w:widowControl w:val="0"/>
        <w:shd w:val="clear" w:color="auto" w:fill="FFFFFF"/>
        <w:autoSpaceDE w:val="0"/>
        <w:autoSpaceDN w:val="0"/>
        <w:spacing w:after="0" w:line="360" w:lineRule="auto"/>
        <w:jc w:val="both"/>
        <w:rPr>
          <w:rFonts w:eastAsia="Times New Roman" w:cs="Times New Roman"/>
          <w:color w:val="000000"/>
          <w:szCs w:val="24"/>
          <w:lang w:val="en-US"/>
        </w:rPr>
      </w:pPr>
      <w:r>
        <w:rPr>
          <w:rFonts w:eastAsia="Times New Roman" w:cs="Times New Roman"/>
          <w:color w:val="000000"/>
          <w:szCs w:val="24"/>
          <w:lang w:val="en-US"/>
        </w:rPr>
        <w:t>Liability based on fault is a fairly common principle applicable in criminal and civil law. Regarding the element of error in the Civil Code, it is known that there is a claim for compensation on the basis of violating the law as referred to in Article 1365 of the Civil Code, the element of error as referred to in Article 1366 of the Civil Code. This principle states that a person can only be held legally responsible if there is an element of wrongdoing, and requires the fulfillment of four main elements, namely:</w:t>
      </w:r>
    </w:p>
    <w:p>
      <w:pPr>
        <w:widowControl w:val="0"/>
        <w:numPr>
          <w:ilvl w:val="0"/>
          <w:numId w:val="2"/>
        </w:numPr>
        <w:autoSpaceDE w:val="0"/>
        <w:autoSpaceDN w:val="0"/>
        <w:spacing w:after="0" w:line="360" w:lineRule="auto"/>
        <w:jc w:val="both"/>
        <w:rPr>
          <w:rFonts w:eastAsia="Times New Roman" w:cs="Times New Roman"/>
          <w:color w:val="000000"/>
          <w:szCs w:val="24"/>
          <w:lang w:val="en-US"/>
        </w:rPr>
      </w:pPr>
      <w:r>
        <w:rPr>
          <w:rFonts w:eastAsia="Times New Roman" w:cs="Times New Roman"/>
          <w:color w:val="000000"/>
          <w:szCs w:val="24"/>
          <w:lang w:val="en-US"/>
        </w:rPr>
        <w:t>1) Acts that violate the law (onrechtmatige daad), acts against the law before 1919 are defined "narrowly, namely violating the laws and regulations". Acts against the law before 1919 were defined narrowly as violating the law, then Mariam Darus Badrulzaman et.all. argued that “acts against the law not only violate the law, but are expanded. An act or daad is "a good deed that is positive or negative, meaning that every behavior does or does not do". Regarding unlawful acts after 1919, it was interpreted broadly in accordance with what was stated by Riduan Syahrani as follows: "It was only in 1919 that Hoge Raad left a narrow interpretation of the meaning of unlawful acts, namely when giving a decision at the cassation level against the Lindenboum vs. Cohen case, dated 31 January 1919 known as the Arrest Drukker. Febriansyah as a business actor who sells pork, but to consumers that the meat being sold is venison. Because of venison, Febriansyah does not need to include or provide information that the meat sold is halal. Febriansyah's action violated the rights of consumers, namely the right to obtain correct information about the products sold as stated in Article 4 paragraph (1) letter h of Law no. 1 of 1999 that consumer rights are the right to receive compensation, compensation and/or replacement, if the goods and/or services received are not in accordance with the agreement or not as they should be. In addition, Febriansyah can be said to have violated Article 8 paragraph (1) letter h of Law no. 8 of 1999, that business actors are prohibited from producing and/or trading goods and/or services that do not follow the provisions for halal production, as stated in the "halal" statement.</w:t>
      </w:r>
    </w:p>
    <w:p>
      <w:pPr>
        <w:widowControl w:val="0"/>
        <w:autoSpaceDE w:val="0"/>
        <w:autoSpaceDN w:val="0"/>
        <w:spacing w:after="0" w:line="360" w:lineRule="auto"/>
        <w:ind w:left="993"/>
        <w:jc w:val="both"/>
        <w:rPr>
          <w:rFonts w:eastAsia="Times New Roman" w:cs="Times New Roman"/>
          <w:color w:val="000000"/>
          <w:szCs w:val="24"/>
          <w:lang w:val="en-US"/>
        </w:rPr>
      </w:pPr>
      <w:r>
        <w:rPr>
          <w:rFonts w:eastAsia="Times New Roman" w:cs="Times New Roman"/>
          <w:color w:val="000000"/>
          <w:szCs w:val="24"/>
          <w:lang w:val="en-US"/>
        </w:rPr>
        <w:t>Febriansyah has known that the meat traded to consumers is pork, but in an effort to make a profit from the sale of the pork, he is dishonest or lying, with the intention of misleading the buyer to seek profit, as an act of deception or deception. as an act against which a criminal can be imposed, so that the element of having to violate the law has been fulfilled.</w:t>
      </w:r>
    </w:p>
    <w:p>
      <w:pPr>
        <w:widowControl w:val="0"/>
        <w:numPr>
          <w:ilvl w:val="0"/>
          <w:numId w:val="2"/>
        </w:numPr>
        <w:autoSpaceDE w:val="0"/>
        <w:autoSpaceDN w:val="0"/>
        <w:spacing w:after="0" w:line="360" w:lineRule="auto"/>
        <w:ind w:left="993" w:hanging="284"/>
        <w:jc w:val="both"/>
        <w:rPr>
          <w:rFonts w:eastAsia="Times New Roman" w:cs="Times New Roman"/>
          <w:color w:val="000000"/>
          <w:szCs w:val="24"/>
          <w:lang w:val="en-US"/>
        </w:rPr>
      </w:pPr>
      <w:r>
        <w:rPr>
          <w:rFonts w:eastAsia="Times New Roman" w:cs="Times New Roman"/>
          <w:color w:val="000000"/>
          <w:szCs w:val="24"/>
          <w:lang w:val="en-US"/>
        </w:rPr>
        <w:t>There must be an error. Regarding errors in unlawful acts, Article 1366 of the Civil Code stipulates as follows: "Every person is responsible not only for losses caused by his actions, but also for losses caused by negligence or carelessness". "The Civil Law does not distinguish between an intentional error and an error in the form of inadvertence". This is in accordance with what was stated by Leonora Bakarbessy and Ghansham Anand, that "error is stated in a general sense, it can include intentional or negligence". "Mistakes, whether committed intentionally or due to negligence, have the same weight by considering that both negligence and intentional, the most important thing is that there was an error committed by one of the parties". Febriansyah hunts pigs and the results are sold to consumers, if Febriansyah admits that the meat being sold is pork, then it cannot be sold in the market because it is illegal to sell, but Febriansyah puts it forward with words that are dishonest or lie, with the intention of misleading buyers to seek profit. This means that there must be an element of error, including intentionality, which has been fulfilled.</w:t>
      </w:r>
    </w:p>
    <w:p>
      <w:pPr>
        <w:widowControl w:val="0"/>
        <w:numPr>
          <w:ilvl w:val="0"/>
          <w:numId w:val="2"/>
        </w:numPr>
        <w:autoSpaceDE w:val="0"/>
        <w:autoSpaceDN w:val="0"/>
        <w:spacing w:after="0" w:line="360" w:lineRule="auto"/>
        <w:ind w:left="993" w:hanging="284"/>
        <w:jc w:val="both"/>
        <w:rPr>
          <w:rFonts w:eastAsia="Times New Roman" w:cs="Times New Roman"/>
          <w:color w:val="000000"/>
          <w:szCs w:val="24"/>
          <w:lang w:val="en-US"/>
        </w:rPr>
      </w:pPr>
      <w:r>
        <w:rPr>
          <w:rFonts w:eastAsia="Times New Roman" w:cs="Times New Roman"/>
          <w:color w:val="000000"/>
          <w:szCs w:val="24"/>
          <w:lang w:val="en-US"/>
        </w:rPr>
        <w:t>There must be a loss caused. Elements must have a loss. Regarding the losses of Leonora Bakarbessy and Ghansham Anand, that "in contrast to losses due to default which only concern material losses, losses in unlawful acts in addition to material losses, jurisprudence also recognizes immaterial losses, which can also be valued in money". Riduan Syahrani explained material and immaterial losses, regarding losses in unlawful acts, "can be in the form of material losses and can be in the form of immaterial losses". "Losses in the form of material, i.e. losses whose amount can be counted, while immaterial losses, the amount cannot be calculated, for example, their good name is tainted, resulting in death." Febriansyah who sells pork as venison the purchase price, if the consumer knows that what is being sold is pork, then the consumer is immaterially or materially harmed, so that the element of loss must have been fulfilled.</w:t>
      </w:r>
    </w:p>
    <w:p>
      <w:pPr>
        <w:widowControl w:val="0"/>
        <w:numPr>
          <w:ilvl w:val="0"/>
          <w:numId w:val="2"/>
        </w:numPr>
        <w:autoSpaceDE w:val="0"/>
        <w:autoSpaceDN w:val="0"/>
        <w:spacing w:after="0" w:line="360" w:lineRule="auto"/>
        <w:jc w:val="both"/>
        <w:rPr>
          <w:rFonts w:eastAsia="Times New Roman" w:cs="Times New Roman"/>
          <w:color w:val="000000"/>
          <w:szCs w:val="24"/>
          <w:lang w:val="en-US"/>
        </w:rPr>
      </w:pPr>
      <w:r>
        <w:rPr>
          <w:rFonts w:eastAsia="Times New Roman" w:cs="Times New Roman"/>
          <w:color w:val="000000"/>
          <w:szCs w:val="24"/>
          <w:lang w:val="en-US"/>
        </w:rPr>
        <w:t>There is a causal relationship between the act and the loss.</w:t>
      </w:r>
    </w:p>
    <w:p>
      <w:pPr>
        <w:widowControl w:val="0"/>
        <w:numPr>
          <w:ilvl w:val="0"/>
          <w:numId w:val="2"/>
        </w:numPr>
        <w:autoSpaceDE w:val="0"/>
        <w:autoSpaceDN w:val="0"/>
        <w:spacing w:after="0" w:line="360" w:lineRule="auto"/>
        <w:jc w:val="both"/>
        <w:rPr>
          <w:rFonts w:eastAsia="Times New Roman" w:cs="Times New Roman"/>
          <w:color w:val="000000"/>
          <w:szCs w:val="24"/>
          <w:lang w:val="en-US"/>
        </w:rPr>
      </w:pPr>
      <w:r>
        <w:rPr>
          <w:rFonts w:eastAsia="Times New Roman" w:cs="Times New Roman"/>
          <w:color w:val="000000"/>
          <w:szCs w:val="24"/>
          <w:lang w:val="en-US"/>
        </w:rPr>
        <w:t>The existence of a causal relationship or a causal relationship means that the losses suffered are caused or caused by unlawful acts committed by the perpetrators. Regarding the element of a causal relationship between unlawful acts and losses, Leonora Bakarbessy and Ghansham Anand stated that "according to Hoge Raad in several of his arrests since 1927, the problem of causal relations must be based on the doctrine of "adequate". "According to this theory, there is a causal relationship if the loss according to proper experience is a result that can be expected to arise from the unlawful act". Regarding the adequate theory, Riduan Syahrani cites Von Kries' theory as follows: "A new thing can be called the cause of an effect, if according to people's experience it can be assumed that the cause will be followed by the result". "This means that if there is a cause but that cause does not cause a loss, or a loss occurs but is not caused by the perpetrator, then it cannot be said that there is a causal relationship between the act and the resulting loss". The losses suffered by consumers occurred because Febriansyah's act of selling pork was recognized as deer meat, so the element of having a causal relationship had been fulfilled.</w:t>
      </w:r>
    </w:p>
    <w:p>
      <w:pPr>
        <w:widowControl w:val="0"/>
        <w:shd w:val="clear" w:color="auto" w:fill="FFFFFF"/>
        <w:autoSpaceDE w:val="0"/>
        <w:autoSpaceDN w:val="0"/>
        <w:spacing w:after="0" w:line="360" w:lineRule="auto"/>
        <w:ind w:left="709" w:hanging="349"/>
        <w:jc w:val="both"/>
        <w:rPr>
          <w:rFonts w:eastAsia="Times New Roman" w:cs="Times New Roman"/>
          <w:color w:val="000000"/>
          <w:szCs w:val="24"/>
          <w:lang w:val="en-US"/>
        </w:rPr>
      </w:pPr>
      <w:r>
        <w:rPr>
          <w:rFonts w:eastAsia="Times New Roman" w:cs="Times New Roman"/>
          <w:color w:val="000000"/>
          <w:szCs w:val="24"/>
          <w:lang w:val="en-US"/>
        </w:rPr>
        <w:t xml:space="preserve">2. </w:t>
      </w:r>
      <w:r>
        <w:rPr>
          <w:rFonts w:eastAsia="Times New Roman" w:cs="Times New Roman"/>
          <w:color w:val="000000"/>
          <w:szCs w:val="24"/>
          <w:lang w:val="en-US"/>
        </w:rPr>
        <w:tab/>
      </w:r>
      <w:r>
        <w:rPr>
          <w:rFonts w:eastAsia="Times New Roman" w:cs="Times New Roman"/>
          <w:color w:val="000000"/>
          <w:szCs w:val="24"/>
          <w:lang w:val="en-US"/>
        </w:rPr>
        <w:t>The principle of presumption to always be responsible (reverse proof), is always responsible until he can prove his innocence. So the burden of proof is on the defendant. It appears that the inverse burden of proof (omkering van bewijslas) is accepted in this principle. UU no. 8 of 1999 adopting this reverse proof is confirmed in Articles 19, 22, and 23 of Law no. 8 of 1999. In this case, Febriansyah does not need to prove, because based on expert testimony as stated in Certificate of Analysis No. AS30/ LAB/LPPOM MUI/IX/2019 dated 24 September 2019 signed by Dr. Ir. Mardiah Rohman, M.Si as the Deputy Head of the LPPOM MUI Laboratory concluded that 1 (one) fresh meat sample was positive for pork DNA (pork).</w:t>
      </w:r>
    </w:p>
    <w:p>
      <w:pPr>
        <w:widowControl w:val="0"/>
        <w:shd w:val="clear" w:color="auto" w:fill="FFFFFF"/>
        <w:autoSpaceDE w:val="0"/>
        <w:autoSpaceDN w:val="0"/>
        <w:spacing w:after="0" w:line="360" w:lineRule="auto"/>
        <w:ind w:left="709" w:hanging="349"/>
        <w:jc w:val="both"/>
        <w:rPr>
          <w:rFonts w:eastAsia="Times New Roman" w:cs="Times New Roman"/>
          <w:color w:val="000000"/>
          <w:szCs w:val="24"/>
          <w:lang w:val="en-US"/>
        </w:rPr>
      </w:pPr>
      <w:r>
        <w:rPr>
          <w:rFonts w:eastAsia="Times New Roman" w:cs="Times New Roman"/>
          <w:color w:val="000000"/>
          <w:szCs w:val="24"/>
          <w:lang w:val="en-US"/>
        </w:rPr>
        <w:t xml:space="preserve">3. </w:t>
      </w:r>
      <w:r>
        <w:rPr>
          <w:rFonts w:eastAsia="Times New Roman" w:cs="Times New Roman"/>
          <w:color w:val="000000"/>
          <w:szCs w:val="24"/>
          <w:lang w:val="en-US"/>
        </w:rPr>
        <w:tab/>
      </w:r>
      <w:r>
        <w:rPr>
          <w:rFonts w:eastAsia="Times New Roman" w:cs="Times New Roman"/>
          <w:color w:val="000000"/>
          <w:szCs w:val="24"/>
          <w:lang w:val="en-US"/>
        </w:rPr>
        <w:t xml:space="preserve">The principle of always being irresponsible (presumption of non-liability) The principle of being irresponsible is only known in a very limited scope of consumer transactions, and such restrictions are usually justified by common sense. An example of the application of this principle is the law of carriage. Loss or damage to cabin baggage/hand baggage which is usually carried and supervised by the passenger (consumer) is the responsibility of the passenger </w:t>
      </w:r>
      <w:r>
        <w:rPr>
          <w:rFonts w:eastAsia="Times New Roman" w:cs="Times New Roman"/>
          <w:color w:val="000000"/>
          <w:szCs w:val="24"/>
          <w:vertAlign w:val="superscript"/>
          <w:lang w:val="en-US"/>
        </w:rPr>
        <w:footnoteReference w:id="4"/>
      </w:r>
    </w:p>
    <w:p>
      <w:pPr>
        <w:widowControl w:val="0"/>
        <w:shd w:val="clear" w:color="auto" w:fill="FFFFFF"/>
        <w:autoSpaceDE w:val="0"/>
        <w:autoSpaceDN w:val="0"/>
        <w:spacing w:after="0" w:line="360" w:lineRule="auto"/>
        <w:ind w:left="709" w:hanging="349"/>
        <w:jc w:val="both"/>
        <w:rPr>
          <w:rFonts w:eastAsia="Times New Roman" w:cs="Times New Roman"/>
          <w:color w:val="000000"/>
          <w:szCs w:val="24"/>
          <w:lang w:val="en-US"/>
        </w:rPr>
      </w:pPr>
      <w:r>
        <w:rPr>
          <w:rFonts w:eastAsia="Times New Roman" w:cs="Times New Roman"/>
          <w:color w:val="000000"/>
          <w:szCs w:val="24"/>
          <w:lang w:val="en-US"/>
        </w:rPr>
        <w:t xml:space="preserve">4. </w:t>
      </w:r>
      <w:r>
        <w:rPr>
          <w:rFonts w:eastAsia="Times New Roman" w:cs="Times New Roman"/>
          <w:color w:val="000000"/>
          <w:szCs w:val="24"/>
          <w:lang w:val="en-US"/>
        </w:rPr>
        <w:tab/>
      </w:r>
      <w:r>
        <w:rPr>
          <w:rFonts w:eastAsia="Times New Roman" w:cs="Times New Roman"/>
          <w:color w:val="000000"/>
          <w:szCs w:val="24"/>
          <w:lang w:val="en-US"/>
        </w:rPr>
        <w:t>The principle of absolute responsibility (strict liability) The principle of absolute responsibility is often identified with the principle of absolute liability, although there are also experts who distinguish the two terms above. There is an opinion that says, strict liability is the principle of responsibility that stipulates no fault as a determining factor. However, there are exceptions where it is possible to be released from liability, for example in a force majeure situation. On the other hand, absolute liability is the principle of responsibility without fault and without exception.</w:t>
      </w:r>
    </w:p>
    <w:p>
      <w:pPr>
        <w:widowControl w:val="0"/>
        <w:autoSpaceDE w:val="0"/>
        <w:autoSpaceDN w:val="0"/>
        <w:spacing w:after="0" w:line="360" w:lineRule="auto"/>
        <w:ind w:left="720" w:right="117" w:hanging="360"/>
        <w:jc w:val="both"/>
        <w:rPr>
          <w:rFonts w:eastAsia="Times New Roman" w:cs="Times New Roman"/>
          <w:color w:val="000000"/>
          <w:szCs w:val="24"/>
          <w:shd w:val="clear" w:color="auto" w:fill="FFFFFF"/>
          <w:lang w:val="en-US"/>
        </w:rPr>
      </w:pPr>
      <w:r>
        <w:rPr>
          <w:rFonts w:eastAsia="Times New Roman" w:cs="Times New Roman"/>
          <w:color w:val="000000"/>
          <w:szCs w:val="24"/>
          <w:lang w:val="en-US"/>
        </w:rPr>
        <w:t xml:space="preserve">5. </w:t>
      </w:r>
      <w:r>
        <w:rPr>
          <w:rFonts w:eastAsia="Times New Roman" w:cs="Times New Roman"/>
          <w:color w:val="000000"/>
          <w:szCs w:val="24"/>
          <w:lang w:val="en-US"/>
        </w:rPr>
        <w:tab/>
      </w:r>
      <w:r>
        <w:rPr>
          <w:rFonts w:eastAsia="Times New Roman" w:cs="Times New Roman"/>
          <w:color w:val="000000"/>
          <w:szCs w:val="24"/>
          <w:lang w:val="en-US"/>
        </w:rPr>
        <w:t>The principle of responsibility with limitations is very much liked by business actors to be included as an exoneration clause in the standard agreement they make. In the film-print washing agreement, for example, it is stipulated that if the film to be washed/printed is lost or damaged (including due to an officer's error), the consumer is only limited to compensation of ten times the price of a new roll of film. This principle of responsibility is very detrimental to consumers if it is determined unilaterally by business actors. In Law no. 8 of 1999 which is new, business actors should not unilaterally determine clauses that are detrimental to consumers, including limiting their maximum responsibilities, if there are restrictions, they must absolutely be based on clear laws and regulations..</w:t>
      </w:r>
      <w:r>
        <w:rPr>
          <w:rFonts w:eastAsia="Times New Roman" w:cs="Times New Roman"/>
          <w:color w:val="000000"/>
          <w:szCs w:val="24"/>
          <w:vertAlign w:val="superscript"/>
          <w:lang w:val="en-US"/>
        </w:rPr>
        <w:footnoteReference w:id="5"/>
      </w:r>
    </w:p>
    <w:p>
      <w:pPr>
        <w:widowControl w:val="0"/>
        <w:autoSpaceDE w:val="0"/>
        <w:autoSpaceDN w:val="0"/>
        <w:spacing w:after="0" w:line="360" w:lineRule="auto"/>
        <w:ind w:right="117" w:firstLine="720"/>
        <w:jc w:val="both"/>
        <w:rPr>
          <w:rFonts w:eastAsia="Times New Roman" w:cs="Times New Roman"/>
          <w:color w:val="000000"/>
          <w:szCs w:val="24"/>
          <w:lang w:val="en-US"/>
        </w:rPr>
      </w:pPr>
      <w:r>
        <w:rPr>
          <w:rFonts w:eastAsia="Times New Roman" w:cs="Times New Roman"/>
          <w:color w:val="000000"/>
          <w:szCs w:val="24"/>
          <w:lang w:val="en-US"/>
        </w:rPr>
        <w:t>Taking into account the above description and discussion related to the responsibilities of business actors who trade processed food without including a halal label with the principle of business actor responsibility, it can be explained that business actors in this case Febriansyah who sell pork to consumers who are Muslim as a type of food that is forbidden to eat. eaten, but without including a label or certificate that is not halal, it can be held accountable and includes the principle of responsibility based on fault (liability based on fault). Febriansyah's action is a violation of the law so that he can be held responsible for losses on the basis of violating Article 1365 of the Civil Code.</w:t>
      </w:r>
    </w:p>
    <w:p>
      <w:pPr>
        <w:spacing w:after="0" w:line="360" w:lineRule="auto"/>
        <w:ind w:firstLine="720" w:firstLineChars="0"/>
        <w:jc w:val="both"/>
        <w:rPr>
          <w:rFonts w:eastAsiaTheme="minorEastAsia"/>
          <w:lang w:eastAsia="zh-CN"/>
        </w:rPr>
      </w:pPr>
      <w:r>
        <w:t>Based on the description and discussion of issues regarding the accountability of the perpetrators of selling pork sold as venison, it can be explained that the sale of pork as venison to consumers, which means consumer rights as referred to in Article 4 letter c of Law no. 8 of 1999 was violated. Besides selling pork as processed food which is forbidden to be eaten by Muslims without giving an explanation that it is forbidden to eat, it can be said to violate Article 8 paragraph (1) letter h of Law no. 8 of 1999. Consumers do not know that the meat they buy is pork, but Febriansyah, with the consideration to seek profit from the sale of the meat, tells consumers that he is dishonest or lying, with the intention of misleading the buyer into being deceived and willing to buy it, including as a trick. , Febriansyah's actions can be held accountable on the basis of the principle of responsibility based on fault (liability based on fault), as the party responsible for the losses suffered by consumers.</w:t>
      </w:r>
    </w:p>
    <w:p>
      <w:pPr>
        <w:spacing w:after="0" w:line="240" w:lineRule="auto"/>
        <w:jc w:val="both"/>
        <w:rPr>
          <w:rFonts w:hint="eastAsia" w:eastAsiaTheme="minorEastAsia"/>
          <w:lang w:eastAsia="zh-CN"/>
        </w:rPr>
      </w:pPr>
    </w:p>
    <w:p>
      <w:pPr>
        <w:spacing w:after="0" w:line="240" w:lineRule="auto"/>
        <w:jc w:val="both"/>
        <w:rPr>
          <w:b/>
        </w:rPr>
        <w:sectPr>
          <w:headerReference r:id="rId7" w:type="first"/>
          <w:footerReference r:id="rId10" w:type="first"/>
          <w:headerReference r:id="rId5" w:type="default"/>
          <w:footerReference r:id="rId8" w:type="default"/>
          <w:headerReference r:id="rId6" w:type="even"/>
          <w:footerReference r:id="rId9" w:type="even"/>
          <w:pgSz w:w="11906" w:h="16838"/>
          <w:pgMar w:top="426" w:right="1440" w:bottom="1440" w:left="1440" w:header="709" w:footer="709" w:gutter="0"/>
          <w:pgNumType w:start="51"/>
          <w:cols w:space="708" w:num="1"/>
          <w:docGrid w:linePitch="360" w:charSpace="0"/>
        </w:sectPr>
      </w:pPr>
    </w:p>
    <w:p>
      <w:pPr>
        <w:spacing w:after="0" w:line="240" w:lineRule="auto"/>
        <w:jc w:val="both"/>
        <w:rPr>
          <w:b/>
        </w:rPr>
      </w:pPr>
      <w:r>
        <w:rPr>
          <w:b/>
        </w:rPr>
        <w:t>Conclusion</w:t>
      </w:r>
    </w:p>
    <w:p>
      <w:pPr>
        <w:spacing w:after="0" w:line="360" w:lineRule="auto"/>
        <w:ind w:left="284" w:hanging="284"/>
        <w:jc w:val="both"/>
      </w:pPr>
      <w:r>
        <w:t xml:space="preserve">1. </w:t>
      </w:r>
      <w:r>
        <w:rPr>
          <w:lang w:val="en-US"/>
        </w:rPr>
        <w:t xml:space="preserve"> The perpetrator can be sued if the pork sold is said to be venison. Selling venison when in fact it is pork, it can be said that the perpetrator has committed an act that violates consumer rights, namely for correct, clear, and honest information regarding the condition and guarantee of goods as stipulated in Article 4 letter c of Law no. 8 of 1999. Selling pork without including a label that the meat is not halal violates Article 8 paragraph (1) letter h of Law no. 8 of 1999, and the meat was sold to convince potential buyers, the perpetrator said that he was not honest or lying, with the intention of misleading the buyer to seek profit, that the meat being sold was venison, as an act of deception carried out by the perpetrator.</w:t>
      </w:r>
    </w:p>
    <w:p>
      <w:pPr>
        <w:spacing w:after="0" w:line="360" w:lineRule="auto"/>
        <w:ind w:left="284" w:hanging="284"/>
        <w:jc w:val="both"/>
      </w:pPr>
      <w:r>
        <w:t>2. The form of government protection for consumers who are harmed by consuming pork, that the government through the Minister of Health and the Minister of Trade and BPOM provide supervision over trade and circulation of goods as stipulated in Article 30 of Law no. 8 of 1999 as a repressive and preventive supervision. Against consumers who are harmed by violating consumer rights and trading goods without attaching a label as referred to in Article 4 letter c and Article 8 paragraph (1) letter h of Law no. 8 of 1999, as a violation of the law, the settlement is through a lawsuit to the General Court in the form of reimbursement of costs, losses (both material and immaterial) as stipulated in Article 1365 of the Civil Code</w:t>
      </w:r>
    </w:p>
    <w:p>
      <w:pPr>
        <w:spacing w:after="0" w:line="240" w:lineRule="auto"/>
        <w:jc w:val="both"/>
      </w:pPr>
    </w:p>
    <w:p>
      <w:pPr>
        <w:spacing w:after="0" w:line="240" w:lineRule="auto"/>
        <w:jc w:val="both"/>
        <w:rPr>
          <w:b/>
        </w:rPr>
      </w:pPr>
      <w:r>
        <w:rPr>
          <w:b/>
        </w:rPr>
        <w:t>References</w:t>
      </w:r>
    </w:p>
    <w:p>
      <w:pPr>
        <w:spacing w:after="0" w:line="240" w:lineRule="auto"/>
        <w:jc w:val="both"/>
        <w:rPr>
          <w:b/>
        </w:rPr>
      </w:pPr>
    </w:p>
    <w:p>
      <w:pPr>
        <w:spacing w:after="0" w:line="240" w:lineRule="auto"/>
        <w:ind w:left="720" w:hanging="720"/>
        <w:jc w:val="both"/>
        <w:rPr>
          <w:rFonts w:eastAsia="Calibri" w:cs="Times New Roman"/>
          <w:szCs w:val="24"/>
          <w:lang w:val="id-ID"/>
        </w:rPr>
      </w:pPr>
      <w:r>
        <w:rPr>
          <w:rFonts w:eastAsia="Calibri" w:cs="Times New Roman"/>
          <w:szCs w:val="24"/>
          <w:lang w:val="id-ID"/>
        </w:rPr>
        <w:t>A.A Gd.Ag. Brahmasta, 2016, “Perlindungan Hukum Bagi Konsumen Dalam Perjanjian Baku Jual Beli Perumahan Denga pihak Pengembangan di Bali”, Jurnal Kenotariatan Universitas Udayana, Acta Comitas, Volume 1 Nomor 2 , Oktober 2016.</w:t>
      </w:r>
    </w:p>
    <w:p>
      <w:pPr>
        <w:spacing w:after="0" w:line="240" w:lineRule="auto"/>
        <w:ind w:left="720" w:hanging="720"/>
        <w:jc w:val="both"/>
        <w:rPr>
          <w:rFonts w:eastAsia="Calibri" w:cs="Times New Roman"/>
          <w:szCs w:val="24"/>
          <w:lang w:val="id-ID"/>
        </w:rPr>
      </w:pPr>
    </w:p>
    <w:p>
      <w:pPr>
        <w:spacing w:after="0" w:line="240" w:lineRule="auto"/>
        <w:jc w:val="both"/>
        <w:rPr>
          <w:rFonts w:eastAsia="Calibri" w:cs="Times New Roman"/>
          <w:szCs w:val="24"/>
          <w:lang w:val="id-ID"/>
        </w:rPr>
      </w:pPr>
      <w:r>
        <w:rPr>
          <w:rFonts w:eastAsia="Calibri" w:cs="Times New Roman"/>
          <w:szCs w:val="24"/>
          <w:lang w:val="id-ID"/>
        </w:rPr>
        <w:t xml:space="preserve">Abdul Halim Barakatullah. 2010. Hak-Hak Konsumen. Bandung: Nusa Media </w:t>
      </w:r>
    </w:p>
    <w:p>
      <w:pPr>
        <w:spacing w:after="0" w:line="240" w:lineRule="auto"/>
        <w:jc w:val="both"/>
        <w:rPr>
          <w:rFonts w:eastAsia="Calibri" w:cs="Times New Roman"/>
          <w:szCs w:val="24"/>
          <w:lang w:val="id-ID"/>
        </w:rPr>
      </w:pPr>
    </w:p>
    <w:p>
      <w:pPr>
        <w:spacing w:after="0" w:line="240" w:lineRule="auto"/>
        <w:jc w:val="both"/>
        <w:rPr>
          <w:rFonts w:eastAsia="Calibri" w:cs="Times New Roman"/>
          <w:szCs w:val="24"/>
          <w:lang w:val="id-ID"/>
        </w:rPr>
      </w:pPr>
      <w:r>
        <w:rPr>
          <w:rFonts w:eastAsia="Calibri" w:cs="Times New Roman"/>
          <w:bCs/>
          <w:iCs/>
          <w:szCs w:val="24"/>
          <w:lang w:val="id-ID"/>
        </w:rPr>
        <w:t xml:space="preserve">Abdulkadir Muhammad, </w:t>
      </w:r>
      <w:r>
        <w:rPr>
          <w:rFonts w:eastAsia="Calibri" w:cs="Times New Roman"/>
          <w:i/>
          <w:color w:val="000000"/>
          <w:szCs w:val="24"/>
          <w:lang w:val="fi-FI"/>
        </w:rPr>
        <w:t>Hukum Perikatan</w:t>
      </w:r>
      <w:r>
        <w:rPr>
          <w:rFonts w:eastAsia="Calibri" w:cs="Times New Roman"/>
          <w:color w:val="000000"/>
          <w:szCs w:val="24"/>
          <w:lang w:val="fi-FI"/>
        </w:rPr>
        <w:t>, Citra Adityta Bakti, Bandung, 2001</w:t>
      </w:r>
    </w:p>
    <w:p>
      <w:pPr>
        <w:spacing w:after="0" w:line="240" w:lineRule="auto"/>
        <w:jc w:val="both"/>
        <w:rPr>
          <w:rFonts w:eastAsia="Calibri" w:cs="Times New Roman"/>
          <w:szCs w:val="24"/>
          <w:lang w:val="id-ID"/>
        </w:rPr>
      </w:pPr>
    </w:p>
    <w:p>
      <w:pPr>
        <w:spacing w:after="0" w:line="240" w:lineRule="auto"/>
        <w:ind w:left="720" w:hanging="720"/>
        <w:jc w:val="both"/>
        <w:rPr>
          <w:rFonts w:eastAsia="Calibri" w:cs="Times New Roman"/>
          <w:szCs w:val="24"/>
          <w:lang w:val="id-ID"/>
        </w:rPr>
      </w:pPr>
      <w:r>
        <w:rPr>
          <w:rFonts w:eastAsia="Calibri" w:cs="Times New Roman"/>
          <w:szCs w:val="24"/>
          <w:lang w:val="id-ID"/>
        </w:rPr>
        <w:t>Fransiska Novita Eleanora, Prinsip Tanggung Jawab Mutlak Pelaku Usaha Terhadap Ketentuan Pasal 27 Uu No. 8 Tahun 1999 Tentang Perlindungan Konsumen. Jurnal Krtha Bhayangkara, Volume 12 No. 2, Desember 2018</w:t>
      </w:r>
    </w:p>
    <w:p>
      <w:pPr>
        <w:spacing w:after="0" w:line="240" w:lineRule="auto"/>
        <w:ind w:left="720" w:hanging="720"/>
        <w:jc w:val="both"/>
        <w:rPr>
          <w:rFonts w:eastAsia="Calibri" w:cs="Times New Roman"/>
          <w:szCs w:val="24"/>
          <w:lang w:val="id-ID"/>
        </w:rPr>
      </w:pPr>
    </w:p>
    <w:p>
      <w:pPr>
        <w:spacing w:after="0" w:line="240" w:lineRule="auto"/>
        <w:ind w:left="720" w:hanging="720"/>
        <w:jc w:val="both"/>
        <w:rPr>
          <w:rFonts w:eastAsia="Calibri" w:cs="Times New Roman"/>
          <w:szCs w:val="24"/>
          <w:lang w:val="id-ID"/>
        </w:rPr>
      </w:pPr>
      <w:r>
        <w:rPr>
          <w:rFonts w:eastAsia="Calibri" w:cs="Times New Roman"/>
          <w:szCs w:val="24"/>
          <w:lang w:val="id-ID"/>
        </w:rPr>
        <w:t xml:space="preserve">Leonora Bakarbessy dan Ghansham Anand, </w:t>
      </w:r>
      <w:r>
        <w:rPr>
          <w:rFonts w:eastAsia="Calibri" w:cs="Times New Roman"/>
          <w:i/>
          <w:szCs w:val="24"/>
          <w:lang w:val="id-ID"/>
        </w:rPr>
        <w:t>Buku Ajar Hukum Perikatan</w:t>
      </w:r>
      <w:r>
        <w:rPr>
          <w:rFonts w:eastAsia="Calibri" w:cs="Times New Roman"/>
          <w:szCs w:val="24"/>
          <w:lang w:val="id-ID"/>
        </w:rPr>
        <w:t>, Zifatama Jawara, Sidoarjo, 2018</w:t>
      </w:r>
    </w:p>
    <w:p>
      <w:pPr>
        <w:spacing w:after="0" w:line="240" w:lineRule="auto"/>
        <w:ind w:left="720" w:hanging="720"/>
        <w:jc w:val="both"/>
        <w:rPr>
          <w:rFonts w:eastAsia="Calibri" w:cs="Times New Roman"/>
          <w:szCs w:val="24"/>
          <w:lang w:val="id-ID"/>
        </w:rPr>
      </w:pPr>
    </w:p>
    <w:p>
      <w:pPr>
        <w:widowControl w:val="0"/>
        <w:autoSpaceDE w:val="0"/>
        <w:autoSpaceDN w:val="0"/>
        <w:spacing w:after="0" w:line="240" w:lineRule="auto"/>
        <w:ind w:left="720" w:hanging="720"/>
        <w:jc w:val="both"/>
        <w:rPr>
          <w:rFonts w:eastAsia="Times New Roman" w:cs="Times New Roman"/>
          <w:szCs w:val="24"/>
          <w:lang w:val="en-US"/>
        </w:rPr>
      </w:pPr>
      <w:r>
        <w:rPr>
          <w:rFonts w:eastAsia="Times New Roman" w:cs="Times New Roman"/>
          <w:szCs w:val="24"/>
          <w:lang w:val="fi-FI"/>
        </w:rPr>
        <w:t>Mariam Darus Badrulzaman et.all.</w:t>
      </w:r>
      <w:r>
        <w:rPr>
          <w:rFonts w:eastAsia="Times New Roman" w:cs="Times New Roman"/>
          <w:i/>
          <w:szCs w:val="24"/>
          <w:lang w:val="en-US"/>
        </w:rPr>
        <w:t>Kompilasi Hukum Perikatan</w:t>
      </w:r>
      <w:r>
        <w:rPr>
          <w:rFonts w:eastAsia="Times New Roman" w:cs="Times New Roman"/>
          <w:szCs w:val="24"/>
          <w:lang w:val="en-US"/>
        </w:rPr>
        <w:t>. Citra Aditya Bakti. Bandung, 2006</w:t>
      </w:r>
    </w:p>
    <w:p>
      <w:pPr>
        <w:widowControl w:val="0"/>
        <w:autoSpaceDE w:val="0"/>
        <w:autoSpaceDN w:val="0"/>
        <w:spacing w:after="0" w:line="240" w:lineRule="auto"/>
        <w:ind w:left="720" w:hanging="720"/>
        <w:jc w:val="both"/>
        <w:rPr>
          <w:rFonts w:eastAsia="Times New Roman" w:cs="Times New Roman"/>
          <w:szCs w:val="24"/>
          <w:lang w:val="sv-SE"/>
        </w:rPr>
      </w:pPr>
    </w:p>
    <w:p>
      <w:pPr>
        <w:widowControl w:val="0"/>
        <w:autoSpaceDE w:val="0"/>
        <w:autoSpaceDN w:val="0"/>
        <w:adjustRightInd w:val="0"/>
        <w:spacing w:after="0" w:line="240" w:lineRule="auto"/>
        <w:ind w:left="720" w:hanging="720"/>
        <w:jc w:val="both"/>
        <w:rPr>
          <w:rFonts w:eastAsia="Times New Roman" w:cs="Times New Roman"/>
          <w:szCs w:val="24"/>
          <w:lang w:val="en-US"/>
        </w:rPr>
      </w:pPr>
      <w:r>
        <w:rPr>
          <w:rFonts w:eastAsia="Times New Roman" w:cs="Times New Roman"/>
          <w:szCs w:val="24"/>
          <w:lang w:val="sv-SE"/>
        </w:rPr>
        <w:t xml:space="preserve">Riduan </w:t>
      </w:r>
      <w:r>
        <w:rPr>
          <w:rFonts w:eastAsia="Times New Roman" w:cs="Times New Roman"/>
          <w:szCs w:val="24"/>
          <w:lang w:val="en-US"/>
        </w:rPr>
        <w:t>S</w:t>
      </w:r>
      <w:r>
        <w:rPr>
          <w:rFonts w:eastAsia="Times New Roman" w:cs="Times New Roman"/>
          <w:szCs w:val="24"/>
          <w:lang w:val="sv-SE"/>
        </w:rPr>
        <w:t xml:space="preserve">yahrani, </w:t>
      </w:r>
      <w:r>
        <w:rPr>
          <w:rFonts w:eastAsia="Times New Roman" w:cs="Times New Roman"/>
          <w:i/>
          <w:szCs w:val="24"/>
          <w:lang w:val="fi-FI"/>
        </w:rPr>
        <w:t xml:space="preserve">Seluk Beluk dan Asas-asas Hukum Perjanjian, </w:t>
      </w:r>
      <w:r>
        <w:rPr>
          <w:rFonts w:eastAsia="Times New Roman" w:cs="Times New Roman"/>
          <w:szCs w:val="24"/>
          <w:lang w:val="fi-FI"/>
        </w:rPr>
        <w:t>Alumni, Bandung</w:t>
      </w:r>
      <w:r>
        <w:rPr>
          <w:rFonts w:eastAsia="Times New Roman" w:cs="Times New Roman"/>
          <w:szCs w:val="24"/>
          <w:lang w:val="en-US"/>
        </w:rPr>
        <w:t>, 1999</w:t>
      </w:r>
    </w:p>
    <w:p>
      <w:pPr>
        <w:widowControl w:val="0"/>
        <w:autoSpaceDE w:val="0"/>
        <w:autoSpaceDN w:val="0"/>
        <w:adjustRightInd w:val="0"/>
        <w:spacing w:after="0" w:line="240" w:lineRule="auto"/>
        <w:ind w:left="720" w:hanging="720"/>
        <w:jc w:val="both"/>
        <w:rPr>
          <w:rFonts w:eastAsia="Times New Roman" w:cs="Times New Roman"/>
          <w:szCs w:val="24"/>
          <w:lang w:val="en-US"/>
        </w:rPr>
      </w:pPr>
    </w:p>
    <w:p>
      <w:pPr>
        <w:spacing w:after="0" w:line="240" w:lineRule="auto"/>
        <w:jc w:val="both"/>
        <w:rPr>
          <w:rFonts w:eastAsia="Calibri" w:cs="Times New Roman"/>
          <w:color w:val="313131"/>
          <w:szCs w:val="24"/>
          <w:shd w:val="clear" w:color="auto" w:fill="FFFFFF"/>
          <w:lang w:val="id-ID"/>
        </w:rPr>
      </w:pPr>
      <w:r>
        <w:rPr>
          <w:rFonts w:eastAsia="Calibri" w:cs="Times New Roman"/>
          <w:color w:val="313131"/>
          <w:szCs w:val="24"/>
          <w:shd w:val="clear" w:color="auto" w:fill="FFFFFF"/>
          <w:lang w:val="id-ID"/>
        </w:rPr>
        <w:t xml:space="preserve">Soeroso, </w:t>
      </w:r>
      <w:r>
        <w:rPr>
          <w:rFonts w:eastAsia="Calibri" w:cs="Times New Roman"/>
          <w:i/>
          <w:color w:val="313131"/>
          <w:szCs w:val="24"/>
          <w:shd w:val="clear" w:color="auto" w:fill="FFFFFF"/>
          <w:lang w:val="id-ID"/>
        </w:rPr>
        <w:t>PengantarIlmuHukum</w:t>
      </w:r>
      <w:r>
        <w:rPr>
          <w:rFonts w:eastAsia="Calibri" w:cs="Times New Roman"/>
          <w:color w:val="313131"/>
          <w:szCs w:val="24"/>
          <w:shd w:val="clear" w:color="auto" w:fill="FFFFFF"/>
          <w:lang w:val="id-ID"/>
        </w:rPr>
        <w:t xml:space="preserve">, SinarGrafika, Jakarta, 2006. </w:t>
      </w:r>
    </w:p>
    <w:p>
      <w:pPr>
        <w:spacing w:after="0" w:line="240" w:lineRule="auto"/>
        <w:jc w:val="both"/>
        <w:rPr>
          <w:rFonts w:eastAsia="Calibri" w:cs="Times New Roman"/>
          <w:szCs w:val="24"/>
          <w:lang w:val="id-ID"/>
        </w:rPr>
      </w:pPr>
    </w:p>
    <w:p>
      <w:pPr>
        <w:spacing w:after="0" w:line="240" w:lineRule="auto"/>
        <w:ind w:left="720" w:hanging="720"/>
        <w:jc w:val="both"/>
        <w:rPr>
          <w:rFonts w:eastAsia="Calibri" w:cs="Times New Roman"/>
          <w:szCs w:val="24"/>
          <w:lang w:val="id-ID"/>
        </w:rPr>
      </w:pPr>
      <w:r>
        <w:rPr>
          <w:rFonts w:eastAsia="Calibri" w:cs="Times New Roman"/>
          <w:szCs w:val="24"/>
          <w:lang w:val="id-ID"/>
        </w:rPr>
        <w:t xml:space="preserve">Umi Rohmah. </w:t>
      </w:r>
      <w:r>
        <w:rPr>
          <w:rFonts w:eastAsia="Calibri" w:cs="Times New Roman"/>
          <w:i/>
          <w:szCs w:val="24"/>
          <w:lang w:val="id-ID"/>
        </w:rPr>
        <w:t>Perikatan (Iltizam) Dalam Hukum Barat Dan Islam</w:t>
      </w:r>
      <w:r>
        <w:rPr>
          <w:rFonts w:eastAsia="Calibri" w:cs="Times New Roman"/>
          <w:szCs w:val="24"/>
          <w:lang w:val="id-ID"/>
        </w:rPr>
        <w:t>. Jurnal Al-‘Adl. Vol. 7 No. 2, Juli 2014</w:t>
      </w:r>
    </w:p>
    <w:p>
      <w:pPr>
        <w:spacing w:after="0" w:line="240" w:lineRule="auto"/>
        <w:jc w:val="both"/>
      </w:pPr>
    </w:p>
    <w:sectPr>
      <w:footerReference r:id="rId11" w:type="default"/>
      <w:pgSz w:w="11906" w:h="16838"/>
      <w:pgMar w:top="426" w:right="1440" w:bottom="1440" w:left="144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Century Gothic">
    <w:panose1 w:val="020B0502020202020204"/>
    <w:charset w:val="00"/>
    <w:family w:val="swiss"/>
    <w:pitch w:val="default"/>
    <w:sig w:usb0="00000287" w:usb1="00000000" w:usb2="00000000" w:usb3="00000000" w:csb0="2000009F" w:csb1="DFD7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qA7vqCACAABg&#10;BAAADgAAAAAAAAABACAAAAAfAQAAZHJzL2Uyb0RvYy54bWxQSwUGAAAAAAYABgBZAQAAs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pPr>
        <w:spacing w:before="0" w:after="0" w:line="259" w:lineRule="auto"/>
      </w:pPr>
      <w:r>
        <w:separator/>
      </w:r>
    </w:p>
  </w:footnote>
  <w:footnote w:type="continuationSeparator" w:id="13">
    <w:p>
      <w:pPr>
        <w:spacing w:before="0" w:after="0" w:line="259" w:lineRule="auto"/>
      </w:pPr>
      <w:r>
        <w:continuationSeparator/>
      </w:r>
    </w:p>
  </w:footnote>
  <w:footnote w:id="0">
    <w:p>
      <w:pPr>
        <w:pStyle w:val="6"/>
        <w:ind w:firstLine="709"/>
        <w:jc w:val="both"/>
      </w:pPr>
      <w:r>
        <w:rPr>
          <w:rStyle w:val="5"/>
        </w:rPr>
        <w:footnoteRef/>
      </w:r>
      <w:r>
        <w:t xml:space="preserve">Abdul Halim Barakatullah. 2010. Hak-Hak Konsumen. Bandung: Nusa Media </w:t>
      </w:r>
    </w:p>
  </w:footnote>
  <w:footnote w:id="1">
    <w:p>
      <w:pPr>
        <w:pStyle w:val="6"/>
        <w:ind w:firstLine="709"/>
        <w:jc w:val="both"/>
      </w:pPr>
      <w:r>
        <w:rPr>
          <w:rStyle w:val="5"/>
        </w:rPr>
        <w:footnoteRef/>
      </w:r>
      <w:r>
        <w:t xml:space="preserve"> A.A Gd.Ag. Brahmasta, 2016, “Perlindungan Hukum Bagi Konsumen Dalam Perjanjian Baku Jual Beli Perumahan Denga pihak Pengembangan di bali” , Jurnal Kenotariatan Universitas Udayana, Acta Comitas, Volume 1 Nomor 2 , Oktober 2016.</w:t>
      </w:r>
    </w:p>
  </w:footnote>
  <w:footnote w:id="2">
    <w:p>
      <w:pPr>
        <w:pStyle w:val="6"/>
        <w:ind w:firstLine="709"/>
        <w:jc w:val="both"/>
      </w:pPr>
      <w:r>
        <w:rPr>
          <w:rStyle w:val="5"/>
        </w:rPr>
        <w:footnoteRef/>
      </w:r>
      <w:r>
        <w:rPr>
          <w:bCs/>
          <w:iCs/>
        </w:rPr>
        <w:t xml:space="preserve">Abdulkadir Muhammad, </w:t>
      </w:r>
      <w:r>
        <w:rPr>
          <w:i/>
          <w:color w:val="000000"/>
          <w:lang w:val="fi-FI"/>
        </w:rPr>
        <w:t>Hukum Perikatan</w:t>
      </w:r>
      <w:r>
        <w:rPr>
          <w:color w:val="000000"/>
          <w:lang w:val="fi-FI"/>
        </w:rPr>
        <w:t>, Citra Adityta Bakti, Bandung, 2001</w:t>
      </w:r>
      <w:r>
        <w:rPr>
          <w:bCs/>
          <w:iCs/>
        </w:rPr>
        <w:t xml:space="preserve">, </w:t>
      </w:r>
      <w:r>
        <w:t>h. 17.</w:t>
      </w:r>
    </w:p>
  </w:footnote>
  <w:footnote w:id="3">
    <w:p>
      <w:pPr>
        <w:pStyle w:val="6"/>
        <w:ind w:firstLine="709"/>
        <w:jc w:val="both"/>
      </w:pPr>
      <w:r>
        <w:rPr>
          <w:rStyle w:val="5"/>
        </w:rPr>
        <w:footnoteRef/>
      </w:r>
      <w:r>
        <w:t xml:space="preserve"> Umi Rohmah. </w:t>
      </w:r>
      <w:r>
        <w:rPr>
          <w:i/>
        </w:rPr>
        <w:t>Perikatan (Iltizam) Dalam Hukum Barat Dan Islam</w:t>
      </w:r>
      <w:r>
        <w:t>. Jurnal Al-‘Adl. Vol. 7 No. 2, Juli 2014</w:t>
      </w:r>
    </w:p>
  </w:footnote>
  <w:footnote w:id="4">
    <w:p>
      <w:pPr>
        <w:pStyle w:val="6"/>
        <w:ind w:firstLine="709"/>
        <w:jc w:val="both"/>
      </w:pPr>
      <w:r>
        <w:rPr>
          <w:rStyle w:val="5"/>
        </w:rPr>
        <w:footnoteRef/>
      </w:r>
      <w:r>
        <w:t xml:space="preserve">Fransiska Novita Eleanora, Prinsip Tanggung Jawab Mutlak Pelaku Usaha Terhadap Ketentuan Pasal 27 Uu No. 8 Tahun 1999 Tentang Perlindungan Konsumen. Jurnal Krtha Bhayangkara, Volume 12 No. 2, Desember 2018. </w:t>
      </w:r>
    </w:p>
  </w:footnote>
  <w:footnote w:id="5">
    <w:p>
      <w:pPr>
        <w:pStyle w:val="6"/>
        <w:ind w:firstLine="709"/>
        <w:jc w:val="both"/>
      </w:pPr>
      <w:r>
        <w:rPr>
          <w:rStyle w:val="5"/>
        </w:rPr>
        <w:footnoteRef/>
      </w:r>
      <w:r>
        <w:rPr>
          <w:i/>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Century Gothic" w:hAnsi="Century Gothic"/>
        <w:b/>
        <w:bCs/>
      </w:rPr>
    </w:pPr>
    <w:bookmarkStart w:id="0" w:name="_Hlk42533407"/>
    <w:bookmarkStart w:id="1" w:name="_Hlk42533408"/>
    <w:r>
      <w:rPr>
        <w:rFonts w:ascii="Century Gothic" w:hAnsi="Century Gothic"/>
        <w:b/>
        <w:bCs/>
      </w:rPr>
      <w:t xml:space="preserve">INTERNATIONAL JOURNAL OF LAW AND LEGAL ETHICS (IJLLE)  </w:t>
    </w:r>
  </w:p>
  <w:p>
    <w:pPr>
      <w:pStyle w:val="7"/>
      <w:rPr>
        <w:rFonts w:ascii="Century Gothic" w:hAnsi="Century Gothic"/>
        <w:sz w:val="20"/>
        <w:szCs w:val="20"/>
        <w:lang w:val="en-US"/>
      </w:rPr>
    </w:pPr>
    <w:r>
      <w:rPr>
        <w:rFonts w:ascii="Century Gothic" w:hAnsi="Century Gothic"/>
        <w:sz w:val="20"/>
        <w:szCs w:val="20"/>
      </w:rPr>
      <w:t xml:space="preserve">Volume </w:t>
    </w:r>
    <w:r>
      <w:rPr>
        <w:rFonts w:hint="default" w:ascii="Century Gothic" w:hAnsi="Century Gothic"/>
        <w:sz w:val="20"/>
        <w:szCs w:val="20"/>
        <w:lang w:val="en-US"/>
      </w:rPr>
      <w:t>3</w:t>
    </w:r>
    <w:r>
      <w:rPr>
        <w:rFonts w:ascii="Century Gothic" w:hAnsi="Century Gothic"/>
        <w:sz w:val="20"/>
        <w:szCs w:val="20"/>
      </w:rPr>
      <w:t>, Issue</w:t>
    </w:r>
    <w:r>
      <w:rPr>
        <w:rFonts w:hint="default" w:ascii="Century Gothic" w:hAnsi="Century Gothic"/>
        <w:sz w:val="20"/>
        <w:szCs w:val="20"/>
        <w:lang w:val="en-US"/>
      </w:rPr>
      <w:t xml:space="preserve"> 2,</w:t>
    </w:r>
    <w:r>
      <w:rPr>
        <w:rFonts w:ascii="Century Gothic" w:hAnsi="Century Gothic"/>
        <w:sz w:val="20"/>
        <w:szCs w:val="20"/>
      </w:rPr>
      <w:t xml:space="preserve"> </w:t>
    </w:r>
    <w:r>
      <w:rPr>
        <w:rFonts w:ascii="Century Gothic" w:hAnsi="Century Gothic"/>
        <w:sz w:val="20"/>
        <w:szCs w:val="20"/>
        <w:lang w:val="en-US"/>
      </w:rPr>
      <w:t>(</w:t>
    </w:r>
    <w:r>
      <w:rPr>
        <w:rFonts w:hint="default" w:ascii="Century Gothic" w:hAnsi="Century Gothic"/>
        <w:sz w:val="20"/>
        <w:szCs w:val="20"/>
        <w:lang w:val="en-US"/>
      </w:rPr>
      <w:t>October</w:t>
    </w:r>
    <w:r>
      <w:rPr>
        <w:rFonts w:ascii="Century Gothic" w:hAnsi="Century Gothic"/>
        <w:sz w:val="20"/>
        <w:szCs w:val="20"/>
        <w:lang w:val="en-US"/>
      </w:rPr>
      <w:t xml:space="preserve">, </w:t>
    </w:r>
    <w:r>
      <w:rPr>
        <w:rFonts w:hint="default" w:ascii="Century Gothic" w:hAnsi="Century Gothic"/>
        <w:sz w:val="20"/>
        <w:szCs w:val="20"/>
        <w:lang w:val="en-US"/>
      </w:rPr>
      <w:t>2022</w:t>
    </w:r>
    <w:r>
      <w:rPr>
        <w:rFonts w:ascii="Century Gothic" w:hAnsi="Century Gothic"/>
        <w:sz w:val="20"/>
        <w:szCs w:val="20"/>
        <w:lang w:val="en-US"/>
      </w:rPr>
      <w:t>)</w:t>
    </w:r>
  </w:p>
  <w:p>
    <w:pPr>
      <w:pStyle w:val="7"/>
      <w:rPr>
        <w:rFonts w:ascii="Century Gothic" w:hAnsi="Century Gothic"/>
        <w:sz w:val="20"/>
        <w:szCs w:val="20"/>
      </w:rPr>
    </w:pPr>
    <w:r>
      <w:rPr>
        <w:rFonts w:ascii="Century Gothic" w:hAnsi="Century Gothic"/>
        <w:sz w:val="20"/>
        <w:szCs w:val="20"/>
      </w:rPr>
      <w:t>ISSN 746-9719 (online)</w:t>
    </w:r>
  </w:p>
  <w:p>
    <w:pPr>
      <w:pStyle w:val="7"/>
    </w:pPr>
    <w:r>
      <w:rPr>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83185</wp:posOffset>
              </wp:positionV>
              <wp:extent cx="5981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817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6.55pt;height:0pt;width:471pt;z-index:251659264;mso-width-relative:page;mso-height-relative:page;" filled="f" stroked="t" coordsize="21600,21600" o:gfxdata="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gsT7BNUAAAAGAQAADwAAAAAAAAABACAAAAAiAAAA&#10;ZHJzL2Rvd25yZXYueG1sUEsBAhQAFAAAAAgAh07iQGkoizLRAQAAtQMAAA4AAAAAAAAAAQAgAAAA&#10;JAEAAGRycy9lMm9Eb2MueG1sUEsFBgAAAAAGAAYAWQEAAGcFAAAAAA==&#10;">
              <v:fill on="f" focussize="0,0"/>
              <v:stroke weight="1.5pt" color="#000000 [3213]" miterlimit="8" joinstyle="miter"/>
              <v:imagedata o:title=""/>
              <o:lock v:ext="edit" aspectratio="f"/>
            </v:line>
          </w:pict>
        </mc:Fallback>
      </mc:AlternateContent>
    </w:r>
    <w:bookmarkEnd w:id="0"/>
    <w:bookmarkEnd w:id="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474F04"/>
    <w:multiLevelType w:val="multilevel"/>
    <w:tmpl w:val="13474F04"/>
    <w:lvl w:ilvl="0" w:tentative="0">
      <w:start w:val="1"/>
      <w:numFmt w:val="decimal"/>
      <w:lvlText w:val="%1."/>
      <w:lvlJc w:val="left"/>
      <w:pPr>
        <w:ind w:left="1636" w:hanging="360"/>
      </w:pPr>
      <w:rPr>
        <w:rFonts w:hint="default"/>
      </w:rPr>
    </w:lvl>
    <w:lvl w:ilvl="1" w:tentative="0">
      <w:start w:val="1"/>
      <w:numFmt w:val="lowerLetter"/>
      <w:lvlText w:val="%2."/>
      <w:lvlJc w:val="left"/>
      <w:pPr>
        <w:ind w:left="2356" w:hanging="360"/>
      </w:pPr>
    </w:lvl>
    <w:lvl w:ilvl="2" w:tentative="0">
      <w:start w:val="1"/>
      <w:numFmt w:val="lowerRoman"/>
      <w:lvlText w:val="%3."/>
      <w:lvlJc w:val="right"/>
      <w:pPr>
        <w:ind w:left="3076" w:hanging="180"/>
      </w:pPr>
    </w:lvl>
    <w:lvl w:ilvl="3" w:tentative="0">
      <w:start w:val="1"/>
      <w:numFmt w:val="decimal"/>
      <w:lvlText w:val="%4."/>
      <w:lvlJc w:val="left"/>
      <w:pPr>
        <w:ind w:left="3796" w:hanging="360"/>
      </w:pPr>
    </w:lvl>
    <w:lvl w:ilvl="4" w:tentative="0">
      <w:start w:val="1"/>
      <w:numFmt w:val="lowerLetter"/>
      <w:lvlText w:val="%5."/>
      <w:lvlJc w:val="left"/>
      <w:pPr>
        <w:ind w:left="4516" w:hanging="360"/>
      </w:pPr>
    </w:lvl>
    <w:lvl w:ilvl="5" w:tentative="0">
      <w:start w:val="1"/>
      <w:numFmt w:val="lowerRoman"/>
      <w:lvlText w:val="%6."/>
      <w:lvlJc w:val="right"/>
      <w:pPr>
        <w:ind w:left="5236" w:hanging="180"/>
      </w:pPr>
    </w:lvl>
    <w:lvl w:ilvl="6" w:tentative="0">
      <w:start w:val="1"/>
      <w:numFmt w:val="decimal"/>
      <w:lvlText w:val="%7."/>
      <w:lvlJc w:val="left"/>
      <w:pPr>
        <w:ind w:left="5956" w:hanging="360"/>
      </w:pPr>
    </w:lvl>
    <w:lvl w:ilvl="7" w:tentative="0">
      <w:start w:val="1"/>
      <w:numFmt w:val="lowerLetter"/>
      <w:lvlText w:val="%8."/>
      <w:lvlJc w:val="left"/>
      <w:pPr>
        <w:ind w:left="6676" w:hanging="360"/>
      </w:pPr>
    </w:lvl>
    <w:lvl w:ilvl="8" w:tentative="0">
      <w:start w:val="1"/>
      <w:numFmt w:val="lowerRoman"/>
      <w:lvlText w:val="%9."/>
      <w:lvlJc w:val="right"/>
      <w:pPr>
        <w:ind w:left="7396" w:hanging="180"/>
      </w:pPr>
    </w:lvl>
  </w:abstractNum>
  <w:abstractNum w:abstractNumId="1">
    <w:nsid w:val="60E56F02"/>
    <w:multiLevelType w:val="multilevel"/>
    <w:tmpl w:val="60E56F02"/>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drawingGridHorizontalSpacing w:val="110"/>
  <w:displayHorizontalDrawingGridEvery w:val="2"/>
  <w:displayVerticalDrawingGridEvery w:val="2"/>
  <w:characterSpacingControl w:val="doNotCompress"/>
  <w:footnotePr>
    <w:footnote w:id="12"/>
    <w:footnote w:id="1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20"/>
    <w:rsid w:val="001007AB"/>
    <w:rsid w:val="00122F56"/>
    <w:rsid w:val="0014176D"/>
    <w:rsid w:val="001B1E6A"/>
    <w:rsid w:val="003915CA"/>
    <w:rsid w:val="003955EA"/>
    <w:rsid w:val="003A2AC5"/>
    <w:rsid w:val="004C068E"/>
    <w:rsid w:val="00572D79"/>
    <w:rsid w:val="005C3CE3"/>
    <w:rsid w:val="005D11A5"/>
    <w:rsid w:val="006133EF"/>
    <w:rsid w:val="00736325"/>
    <w:rsid w:val="007D10F4"/>
    <w:rsid w:val="007D5EA8"/>
    <w:rsid w:val="008D74C3"/>
    <w:rsid w:val="00977E20"/>
    <w:rsid w:val="0099028A"/>
    <w:rsid w:val="009D2B40"/>
    <w:rsid w:val="00A63E48"/>
    <w:rsid w:val="00A752A6"/>
    <w:rsid w:val="00B4669E"/>
    <w:rsid w:val="00BC37F9"/>
    <w:rsid w:val="00DC219F"/>
    <w:rsid w:val="00E34790"/>
    <w:rsid w:val="00E759CC"/>
    <w:rsid w:val="00F95473"/>
    <w:rsid w:val="00FF2F63"/>
    <w:rsid w:val="016F3A57"/>
    <w:rsid w:val="1A2B4254"/>
    <w:rsid w:val="201F1B3F"/>
    <w:rsid w:val="250D1BF8"/>
    <w:rsid w:val="3A650A35"/>
    <w:rsid w:val="78716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4"/>
      <w:szCs w:val="22"/>
      <w:lang w:val="zh-CN"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680"/>
        <w:tab w:val="right" w:pos="9360"/>
      </w:tabs>
      <w:spacing w:after="0" w:line="240" w:lineRule="auto"/>
    </w:pPr>
  </w:style>
  <w:style w:type="character" w:styleId="5">
    <w:name w:val="footnote reference"/>
    <w:basedOn w:val="2"/>
    <w:unhideWhenUsed/>
    <w:qFormat/>
    <w:uiPriority w:val="99"/>
    <w:rPr>
      <w:vertAlign w:val="superscript"/>
    </w:rPr>
  </w:style>
  <w:style w:type="paragraph" w:styleId="6">
    <w:name w:val="footnote text"/>
    <w:basedOn w:val="1"/>
    <w:link w:val="14"/>
    <w:semiHidden/>
    <w:unhideWhenUsed/>
    <w:qFormat/>
    <w:uiPriority w:val="99"/>
    <w:pPr>
      <w:spacing w:after="0" w:line="240" w:lineRule="auto"/>
    </w:pPr>
    <w:rPr>
      <w:sz w:val="20"/>
      <w:szCs w:val="20"/>
    </w:rPr>
  </w:style>
  <w:style w:type="paragraph" w:styleId="7">
    <w:name w:val="header"/>
    <w:basedOn w:val="1"/>
    <w:link w:val="10"/>
    <w:unhideWhenUsed/>
    <w:qFormat/>
    <w:uiPriority w:val="99"/>
    <w:pPr>
      <w:tabs>
        <w:tab w:val="center" w:pos="4680"/>
        <w:tab w:val="right" w:pos="9360"/>
      </w:tabs>
      <w:spacing w:after="0" w:line="240" w:lineRule="auto"/>
    </w:pPr>
  </w:style>
  <w:style w:type="paragraph" w:styleId="8">
    <w:name w:val="HTML Preformatted"/>
    <w:basedOn w:val="1"/>
    <w:link w:val="12"/>
    <w:semiHidden/>
    <w:unhideWhenUsed/>
    <w:qFormat/>
    <w:uiPriority w:val="99"/>
    <w:pPr>
      <w:spacing w:after="0" w:line="240" w:lineRule="auto"/>
    </w:pPr>
    <w:rPr>
      <w:rFonts w:ascii="Consolas" w:hAnsi="Consolas"/>
      <w:sz w:val="20"/>
      <w:szCs w:val="20"/>
    </w:rPr>
  </w:style>
  <w:style w:type="character" w:styleId="9">
    <w:name w:val="Hyperlink"/>
    <w:basedOn w:val="2"/>
    <w:semiHidden/>
    <w:unhideWhenUsed/>
    <w:uiPriority w:val="99"/>
    <w:rPr>
      <w:color w:val="0000FF"/>
      <w:u w:val="single"/>
    </w:rPr>
  </w:style>
  <w:style w:type="character" w:customStyle="1" w:styleId="10">
    <w:name w:val="Header Char"/>
    <w:basedOn w:val="2"/>
    <w:link w:val="7"/>
    <w:qFormat/>
    <w:uiPriority w:val="99"/>
    <w:rPr>
      <w:lang w:val="zh-CN"/>
    </w:rPr>
  </w:style>
  <w:style w:type="character" w:customStyle="1" w:styleId="11">
    <w:name w:val="Footer Char"/>
    <w:basedOn w:val="2"/>
    <w:link w:val="4"/>
    <w:qFormat/>
    <w:uiPriority w:val="99"/>
    <w:rPr>
      <w:lang w:val="zh-CN"/>
    </w:rPr>
  </w:style>
  <w:style w:type="character" w:customStyle="1" w:styleId="12">
    <w:name w:val="HTML Preformatted Char"/>
    <w:basedOn w:val="2"/>
    <w:link w:val="8"/>
    <w:semiHidden/>
    <w:qFormat/>
    <w:uiPriority w:val="99"/>
    <w:rPr>
      <w:rFonts w:ascii="Consolas" w:hAnsi="Consolas"/>
      <w:sz w:val="20"/>
      <w:szCs w:val="20"/>
      <w:lang w:val="zh-CN"/>
    </w:rPr>
  </w:style>
  <w:style w:type="paragraph" w:styleId="13">
    <w:name w:val="List Paragraph"/>
    <w:basedOn w:val="1"/>
    <w:qFormat/>
    <w:uiPriority w:val="34"/>
    <w:pPr>
      <w:ind w:left="720"/>
      <w:contextualSpacing/>
    </w:pPr>
  </w:style>
  <w:style w:type="character" w:customStyle="1" w:styleId="14">
    <w:name w:val="Footnote Text Char"/>
    <w:basedOn w:val="2"/>
    <w:link w:val="6"/>
    <w:semiHidden/>
    <w:qFormat/>
    <w:uiPriority w:val="99"/>
    <w:rPr>
      <w:sz w:val="20"/>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F0B9E4-1A0B-4226-A64D-8A0F38E52533}">
  <ds:schemaRefs/>
</ds:datastoreItem>
</file>

<file path=docProps/app.xml><?xml version="1.0" encoding="utf-8"?>
<Properties xmlns="http://schemas.openxmlformats.org/officeDocument/2006/extended-properties" xmlns:vt="http://schemas.openxmlformats.org/officeDocument/2006/docPropsVTypes">
  <Template>Normal</Template>
  <Pages>8</Pages>
  <Words>3328</Words>
  <Characters>18976</Characters>
  <Lines>158</Lines>
  <Paragraphs>44</Paragraphs>
  <TotalTime>4</TotalTime>
  <ScaleCrop>false</ScaleCrop>
  <LinksUpToDate>false</LinksUpToDate>
  <CharactersWithSpaces>22260</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2022-06-23T08:16:00Z</dcterms:created>
  <dc:creator>USER</dc:creator>
  <cp:lastModifiedBy>normalita d</cp:lastModifiedBy>
  <dcterms:modified xsi:type="dcterms:W3CDTF">2022-11-13T03:21:17Z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19F6EA22D5E34BA5BA03C3FB9017DA79</vt:lpwstr>
  </property>
</Properties>
</file>